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000000"/>
          <w:spacing w:val="0"/>
          <w:sz w:val="39"/>
          <w:szCs w:val="39"/>
          <w:shd w:val="clear" w:fill="FFFFFF"/>
        </w:rPr>
      </w:pPr>
      <w:r>
        <w:rPr>
          <w:rFonts w:ascii="微软雅黑" w:hAnsi="微软雅黑" w:eastAsia="微软雅黑" w:cs="微软雅黑"/>
          <w:b/>
          <w:i w:val="0"/>
          <w:caps w:val="0"/>
          <w:color w:val="000000"/>
          <w:spacing w:val="0"/>
          <w:sz w:val="39"/>
          <w:szCs w:val="39"/>
          <w:shd w:val="clear" w:fill="FFFFFF"/>
        </w:rPr>
        <w:t>中国共产党问责条例</w:t>
      </w:r>
    </w:p>
    <w:p>
      <w:pPr>
        <w:keepNext w:val="0"/>
        <w:keepLines w:val="0"/>
        <w:widowControl/>
        <w:suppressLineNumbers w:val="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 xml:space="preserve">    </w:t>
      </w:r>
    </w:p>
    <w:p>
      <w:pPr>
        <w:keepNext w:val="0"/>
        <w:keepLines w:val="0"/>
        <w:widowControl/>
        <w:suppressLineNumbers w:val="0"/>
        <w:jc w:val="left"/>
      </w:pPr>
      <w:r>
        <w:rPr>
          <w:rFonts w:hint="eastAsia" w:ascii="宋体" w:hAnsi="宋体" w:eastAsia="宋体" w:cs="宋体"/>
          <w:b w:val="0"/>
          <w:i w:val="0"/>
          <w:caps w:val="0"/>
          <w:color w:val="000000"/>
          <w:spacing w:val="0"/>
          <w:kern w:val="0"/>
          <w:sz w:val="24"/>
          <w:szCs w:val="24"/>
          <w:shd w:val="clear" w:fill="FFFFFF"/>
          <w:lang w:val="en-US" w:eastAsia="zh-CN" w:bidi="ar"/>
        </w:rPr>
        <w:t xml:space="preserve">    </w:t>
      </w:r>
      <w:bookmarkStart w:id="0" w:name="_GoBack"/>
      <w:bookmarkEnd w:id="0"/>
      <w:r>
        <w:rPr>
          <w:rFonts w:hint="eastAsia" w:ascii="宋体" w:hAnsi="宋体" w:eastAsia="宋体" w:cs="宋体"/>
          <w:b w:val="0"/>
          <w:i w:val="0"/>
          <w:caps w:val="0"/>
          <w:color w:val="000000"/>
          <w:spacing w:val="0"/>
          <w:kern w:val="0"/>
          <w:sz w:val="24"/>
          <w:szCs w:val="24"/>
          <w:shd w:val="clear" w:fill="FFFFFF"/>
          <w:lang w:val="en-US" w:eastAsia="zh-CN" w:bidi="ar"/>
        </w:rPr>
        <w:t>第一条　为全面从严治党，规范和强化党的问责工作，根据《中国共产党章程》，制定本条例。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第二条　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第三条　党的问责工作应当坚持的原则：依规依纪、实事求是，失责必问、问责必严，惩前毖后、治病救人，分级负责、层层落实责任。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第四条　党的问责工作是由党组织按照职责权限，追究在党的建设和党的事业中失职失责党组织和党的领导干部的主体责任、监督责任和领导责任。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问责对象是各级党委（党组）、党的工作部门及其领导成员，各级纪委（纪检组）及其领导成员，重点是主要负责人。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第五条　问责应当分清责任。党组织领导班子在职责范围内负有全面领导责任，领导班子主要负责人和直接主管的班子成员承担主要领导责任，参与决策和工作的班子其他成员承担重要领导责任。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第六条 党组织和党的领导干部违反党章和其他党内法规，不履行或者不正确履行职责，有下列情形之一的，应当予以问责：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全面从严治党不力，主体责任、监督责任落实不到位，管党治党失之于宽松软，好人主义盛行、搞一团和气，不负责、不担当，党内监督乏力，该发现的问题没有发现，发现问题不报告不处置、不整改不问责，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（五）推进党风廉政建设和反腐败工作不坚决、不扎实，管辖范围内腐败蔓延势头没有得到有效遏制，损害群众利益的不正之风和腐败问题突出的；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（六）其他应当问责的失职失责情形。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第七条 对党组织的问责方式包括：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（一）检查。对履行职责不力、情节较轻的，应当责令其作出书面检查并切实整改。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（二）通报。对履行职责不力、情节较重的，应当责令整改，并在一定范围内通报。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（三）改组。对失职失责，严重违反党的纪律、本身又不能纠正的，应当予以改组。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对党的领导干部的问责方式包括：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（一）通报。对履行职责不力的，应当严肃批评，依规整改，并在一定范围内通报。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（二）诫勉。对失职失责、情节较轻的，应当以谈话或者书面方式进行诫勉。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（三）组织调整或者组织处理。对失职失责、情节较重，不适宜担任现职的，应当根据情况采取停职检查、调整职务、责令辞职、降职、免职等措施。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（四）纪律处分。对失职失责应当给予纪律处分的，依照《中国共产党纪律处分条例》追究纪律责任。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上述问责方式，可以单独使用，也可以合并使用。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第八条　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第九条　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第十条 实行终身问责，对失职失责性质恶劣、后果严重的，不论其责任人是否调离转岗、提拔或者退休，都应当严肃问责。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第十一条 各省、自治区、直辖市党委，中央各部委，中央国家机关各部委党组（党委），可以根据本条例制定实施办法。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中央军事委员会可以根据本条例制定相关规定。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第十二条 本条例由中央纪律检查委员会负责解释。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第十三条 本条例自2016年7月8日起施行。此前发布的有关问责的规定，凡与本条例不一致的，按照本条例执行。</w:t>
      </w:r>
    </w:p>
    <w:p>
      <w:pPr>
        <w:jc w:val="center"/>
        <w:rPr>
          <w:rFonts w:ascii="微软雅黑" w:hAnsi="微软雅黑" w:eastAsia="微软雅黑" w:cs="微软雅黑"/>
          <w:b/>
          <w:i w:val="0"/>
          <w:caps w:val="0"/>
          <w:color w:val="000000"/>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D7F71"/>
    <w:rsid w:val="0E39532B"/>
    <w:rsid w:val="54BD7F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2017-04-26T19:26:00Z</dcterms:created>
  <dc:creator>Apolo</dc:creator>
  <cp:lastModifiedBy>Apolo</cp:lastModifiedBy>
  <dcterms:modified xsi:type="dcterms:W3CDTF">2017-04-26T19:27:18Z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